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84" w:tblpY="-8676"/>
        <w:tblOverlap w:val="never"/>
        <w:tblW w:w="88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763"/>
        <w:gridCol w:w="518"/>
        <w:gridCol w:w="732"/>
        <w:gridCol w:w="1430"/>
        <w:gridCol w:w="970"/>
        <w:gridCol w:w="1140"/>
        <w:gridCol w:w="1331"/>
        <w:gridCol w:w="5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8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黔南州医疗保险“两病”门诊用药定点医疗机构</w:t>
            </w:r>
            <w:r>
              <w:rPr>
                <w:rFonts w:hint="eastAsia" w:ascii="黑体" w:hAnsi="宋体" w:eastAsia="黑体" w:cs="黑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变更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830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参保县</w:t>
            </w:r>
            <w:r>
              <w:rPr>
                <w:rStyle w:val="5"/>
                <w:lang w:val="en-US" w:eastAsia="zh-CN" w:bidi="ar"/>
              </w:rPr>
              <w:t xml:space="preserve">(市）：                                                 编码：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“两病”门诊用药病种</w:t>
            </w:r>
          </w:p>
        </w:tc>
        <w:tc>
          <w:tcPr>
            <w:tcW w:w="740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2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原定点医疗机构名称</w:t>
            </w:r>
          </w:p>
        </w:tc>
        <w:tc>
          <w:tcPr>
            <w:tcW w:w="740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2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新定点医疗机构名称</w:t>
            </w:r>
          </w:p>
        </w:tc>
        <w:tc>
          <w:tcPr>
            <w:tcW w:w="740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2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3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83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变更理由：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2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申请人签名：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70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医保管理部门意见：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2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 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8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、长期在州外异地居住的参保人员，异地居住就医备案登记信息有变化应先变更后，方可变更“两病”门诊用药定点医疗机构。二、参保人员应将原定点医疗机构所产生的“两病”门诊用药费用结算完成后，方可申请变更“两病”门诊用药定点医疗机构定点医疗机构。三、原则上定点医疗机构一年内只能变更一次，在未备案的医药机构产生的药品费用不享受“两病”专项待遇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3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2019-12-25T02:34:10Z</dcterms:created>
  <dc:creator>Administrator</dc:creator>
  <cp:lastModifiedBy> 汪婕</cp:lastModifiedBy>
  <dcterms:modified xsi:type="dcterms:W3CDTF">2019-12-25T02:34:17Z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